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38" w:rsidRDefault="000D1438" w:rsidP="000D1438">
      <w:pPr>
        <w:spacing w:after="150" w:line="240" w:lineRule="auto"/>
        <w:jc w:val="center"/>
        <w:rPr>
          <w:rFonts w:ascii="Times New Roman" w:hAnsi="Times New Roman" w:cs="Times New Roman"/>
          <w:b/>
          <w:color w:val="333333"/>
          <w:sz w:val="28"/>
          <w:szCs w:val="28"/>
        </w:rPr>
      </w:pPr>
      <w:r>
        <w:rPr>
          <w:rFonts w:ascii="Times New Roman" w:hAnsi="Times New Roman" w:cs="Times New Roman"/>
          <w:b/>
          <w:color w:val="333333"/>
          <w:sz w:val="28"/>
          <w:szCs w:val="28"/>
        </w:rPr>
        <w:t xml:space="preserve">Кому </w:t>
      </w:r>
      <w:proofErr w:type="gramStart"/>
      <w:r>
        <w:rPr>
          <w:rFonts w:ascii="Times New Roman" w:hAnsi="Times New Roman" w:cs="Times New Roman"/>
          <w:b/>
          <w:color w:val="333333"/>
          <w:sz w:val="28"/>
          <w:szCs w:val="28"/>
        </w:rPr>
        <w:t>положены</w:t>
      </w:r>
      <w:proofErr w:type="gramEnd"/>
      <w:r>
        <w:rPr>
          <w:rFonts w:ascii="Times New Roman" w:hAnsi="Times New Roman" w:cs="Times New Roman"/>
          <w:b/>
          <w:color w:val="333333"/>
          <w:sz w:val="28"/>
          <w:szCs w:val="28"/>
        </w:rPr>
        <w:t xml:space="preserve">: </w:t>
      </w:r>
      <w:r w:rsidRPr="000D1438">
        <w:rPr>
          <w:rFonts w:ascii="Times New Roman" w:hAnsi="Times New Roman" w:cs="Times New Roman"/>
          <w:b/>
          <w:color w:val="333333"/>
          <w:sz w:val="28"/>
          <w:szCs w:val="28"/>
        </w:rPr>
        <w:t>ЕДВ, НСУ, ДЕМО, ДМО</w:t>
      </w:r>
      <w:r>
        <w:rPr>
          <w:rFonts w:ascii="Times New Roman" w:hAnsi="Times New Roman" w:cs="Times New Roman"/>
          <w:b/>
          <w:color w:val="333333"/>
          <w:sz w:val="28"/>
          <w:szCs w:val="28"/>
        </w:rPr>
        <w:t>.</w:t>
      </w:r>
    </w:p>
    <w:p w:rsidR="003D2192" w:rsidRDefault="003D2192" w:rsidP="000D1438">
      <w:pPr>
        <w:spacing w:after="150" w:line="240" w:lineRule="auto"/>
        <w:jc w:val="center"/>
        <w:rPr>
          <w:rFonts w:ascii="Times New Roman" w:hAnsi="Times New Roman" w:cs="Times New Roman"/>
          <w:b/>
          <w:color w:val="333333"/>
          <w:sz w:val="28"/>
          <w:szCs w:val="28"/>
        </w:rPr>
      </w:pPr>
    </w:p>
    <w:p w:rsidR="000D1438" w:rsidRPr="000D1438" w:rsidRDefault="003D2192" w:rsidP="000D1438">
      <w:pPr>
        <w:spacing w:after="150" w:line="240" w:lineRule="auto"/>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noProof/>
          <w:color w:val="333333"/>
          <w:sz w:val="28"/>
          <w:szCs w:val="28"/>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3114675" cy="2114550"/>
            <wp:effectExtent l="19050" t="0" r="9525" b="0"/>
            <wp:wrapSquare wrapText="bothSides"/>
            <wp:docPr id="1" name="Рисунок 0" descr="kak-stat-uchastni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stat-uchastnikom.jpg"/>
                    <pic:cNvPicPr/>
                  </pic:nvPicPr>
                  <pic:blipFill>
                    <a:blip r:embed="rId5"/>
                    <a:stretch>
                      <a:fillRect/>
                    </a:stretch>
                  </pic:blipFill>
                  <pic:spPr>
                    <a:xfrm>
                      <a:off x="0" y="0"/>
                      <a:ext cx="3114675" cy="2114550"/>
                    </a:xfrm>
                    <a:prstGeom prst="rect">
                      <a:avLst/>
                    </a:prstGeom>
                  </pic:spPr>
                </pic:pic>
              </a:graphicData>
            </a:graphic>
          </wp:anchor>
        </w:drawing>
      </w:r>
    </w:p>
    <w:p w:rsidR="000D1438" w:rsidRPr="000D1438" w:rsidRDefault="000D1438" w:rsidP="003D2192">
      <w:pPr>
        <w:spacing w:after="150" w:line="240" w:lineRule="auto"/>
        <w:ind w:firstLine="708"/>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Пенсионный фонд России и его территориальные органы в соответствии с действующим законодательством осуществляют социальные выплаты, к которым, в частности, относятся: ежемесячная денежная выплата (ЕДВ) и входящий в ее состав набор социальных услуг (НСУ), дополнительное ежемесячное материальное обеспечение (ДЕМО), дополнительное материальное обеспечение (ДМО).</w:t>
      </w:r>
      <w:r w:rsidRPr="000D1438">
        <w:rPr>
          <w:rFonts w:ascii="Roboto" w:eastAsia="Times New Roman" w:hAnsi="Roboto" w:cs="Arial"/>
          <w:i/>
          <w:iCs/>
          <w:color w:val="333333"/>
          <w:sz w:val="27"/>
          <w:lang w:eastAsia="ru-RU"/>
        </w:rPr>
        <w:t> </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i/>
          <w:iCs/>
          <w:color w:val="333333"/>
          <w:sz w:val="27"/>
          <w:lang w:eastAsia="ru-RU"/>
        </w:rPr>
        <w:t>Ежемесячная денежная выплата – </w:t>
      </w:r>
      <w:r w:rsidRPr="000D1438">
        <w:rPr>
          <w:rFonts w:ascii="Roboto" w:eastAsia="Times New Roman" w:hAnsi="Roboto" w:cs="Arial"/>
          <w:color w:val="333333"/>
          <w:sz w:val="27"/>
          <w:szCs w:val="27"/>
          <w:lang w:eastAsia="ru-RU"/>
        </w:rPr>
        <w:t>социальная выплата, устанавливаемая территориальными органами ПФР отдельным категориям граждан. Среди них:</w:t>
      </w:r>
    </w:p>
    <w:p w:rsidR="000D1438" w:rsidRPr="000D1438" w:rsidRDefault="000D1438" w:rsidP="000D1438">
      <w:pPr>
        <w:numPr>
          <w:ilvl w:val="0"/>
          <w:numId w:val="1"/>
        </w:numPr>
        <w:spacing w:before="100" w:beforeAutospacing="1" w:after="100" w:afterAutospacing="1"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ветераны Великой Отечественной войны, боевых действий и т.д.;</w:t>
      </w:r>
    </w:p>
    <w:p w:rsidR="000D1438" w:rsidRPr="000D1438" w:rsidRDefault="000D1438" w:rsidP="000D1438">
      <w:pPr>
        <w:numPr>
          <w:ilvl w:val="0"/>
          <w:numId w:val="1"/>
        </w:numPr>
        <w:spacing w:before="100" w:beforeAutospacing="1" w:after="100" w:afterAutospacing="1"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инвалиды, включая детей-инвалидов;</w:t>
      </w:r>
    </w:p>
    <w:p w:rsidR="000D1438" w:rsidRPr="000D1438" w:rsidRDefault="000D1438" w:rsidP="000D1438">
      <w:pPr>
        <w:numPr>
          <w:ilvl w:val="0"/>
          <w:numId w:val="1"/>
        </w:numPr>
        <w:spacing w:before="100" w:beforeAutospacing="1" w:after="100" w:afterAutospacing="1"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бывшие несовершеннолетние узники фашизма;</w:t>
      </w:r>
    </w:p>
    <w:p w:rsidR="000D1438" w:rsidRPr="000D1438" w:rsidRDefault="000D1438" w:rsidP="000D1438">
      <w:pPr>
        <w:numPr>
          <w:ilvl w:val="0"/>
          <w:numId w:val="1"/>
        </w:numPr>
        <w:spacing w:before="100" w:beforeAutospacing="1" w:after="100" w:afterAutospacing="1"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лица, пострадавшие в результате воздействия радиации.</w:t>
      </w:r>
    </w:p>
    <w:p w:rsidR="000D1438" w:rsidRDefault="000D1438" w:rsidP="003D2192">
      <w:pPr>
        <w:spacing w:after="150" w:line="240" w:lineRule="auto"/>
        <w:ind w:firstLine="360"/>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Ознакомиться с полным перечнем граждан, имеющих право на получение ЕДВ, можно на сайте ПФР в разделе «Жизненные ситуации»</w:t>
      </w:r>
      <w:proofErr w:type="gramStart"/>
      <w:r w:rsidRPr="000D1438">
        <w:rPr>
          <w:rFonts w:ascii="Roboto" w:eastAsia="Times New Roman" w:hAnsi="Roboto" w:cs="Arial"/>
          <w:color w:val="333333"/>
          <w:sz w:val="27"/>
          <w:szCs w:val="27"/>
          <w:lang w:eastAsia="ru-RU"/>
        </w:rPr>
        <w:t> </w:t>
      </w:r>
      <w:r>
        <w:rPr>
          <w:rFonts w:ascii="Roboto" w:eastAsia="Times New Roman" w:hAnsi="Roboto" w:cs="Arial"/>
          <w:color w:val="333333"/>
          <w:sz w:val="27"/>
          <w:szCs w:val="27"/>
          <w:lang w:eastAsia="ru-RU"/>
        </w:rPr>
        <w:t>.</w:t>
      </w:r>
      <w:proofErr w:type="gramEnd"/>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i/>
          <w:iCs/>
          <w:color w:val="333333"/>
          <w:sz w:val="27"/>
          <w:lang w:eastAsia="ru-RU"/>
        </w:rPr>
        <w:t xml:space="preserve"> Назначение ЕДВ носит заявительный характер. </w:t>
      </w:r>
      <w:r w:rsidRPr="000D1438">
        <w:rPr>
          <w:rFonts w:ascii="Roboto" w:eastAsia="Times New Roman" w:hAnsi="Roboto" w:cs="Arial"/>
          <w:color w:val="333333"/>
          <w:sz w:val="27"/>
          <w:szCs w:val="27"/>
          <w:lang w:eastAsia="ru-RU"/>
        </w:rPr>
        <w:t> Письменное заявление необходимо подать в Пенсионный фонд по месту жительства либо по месту фактического проживания, или в многофункциональный центр предоставления государственных и муниципальных услуг (МФЦ). Гражданину, который проживает в стационарном учреждении социального обслуживания, необходимо обратиться в ПФР по месту нахождения этого учреждения. Гражданам, осужденным к лишению свободы, необходимо обратиться за назначением ЕДВ в территориальный орган ПФР по месту нахождения исправительного учреждения, в котором они отбывают наказание, через администрацию этого учреждения. Когда ЕДВ назначается несовершеннолетнему или недееспособному, заявление подается по месту жительства несовершеннолетнего или недееспособного лица по месту жительства его родителя (усыновителя, опекуна, попечителя). При этом если родители ребенка проживают раздельно, то заявление подается по месту жительства того из родителей, с которым проживает ребенок. Несовершеннолетний, достигший 14 лет, вправе обратиться за установлением ежемесячной денежной выплаты самостоятельно. </w:t>
      </w:r>
      <w:r w:rsidRPr="000D1438">
        <w:rPr>
          <w:rFonts w:ascii="Roboto" w:eastAsia="Times New Roman" w:hAnsi="Roboto" w:cs="Arial"/>
          <w:i/>
          <w:iCs/>
          <w:color w:val="333333"/>
          <w:sz w:val="27"/>
          <w:lang w:eastAsia="ru-RU"/>
        </w:rPr>
        <w:t>Заявление о назначении ЕДВ можно подать и в электронном виде</w:t>
      </w:r>
      <w:r w:rsidRPr="000D1438">
        <w:rPr>
          <w:rFonts w:ascii="Roboto" w:eastAsia="Times New Roman" w:hAnsi="Roboto" w:cs="Arial"/>
          <w:color w:val="333333"/>
          <w:sz w:val="27"/>
          <w:szCs w:val="27"/>
          <w:lang w:eastAsia="ru-RU"/>
        </w:rPr>
        <w:t xml:space="preserve"> через портал </w:t>
      </w:r>
      <w:proofErr w:type="spellStart"/>
      <w:r w:rsidRPr="000D1438">
        <w:rPr>
          <w:rFonts w:ascii="Roboto" w:eastAsia="Times New Roman" w:hAnsi="Roboto" w:cs="Arial"/>
          <w:color w:val="333333"/>
          <w:sz w:val="27"/>
          <w:szCs w:val="27"/>
          <w:lang w:eastAsia="ru-RU"/>
        </w:rPr>
        <w:t>госуслуг</w:t>
      </w:r>
      <w:proofErr w:type="spellEnd"/>
      <w:r w:rsidRPr="000D1438">
        <w:rPr>
          <w:rFonts w:ascii="Roboto" w:eastAsia="Times New Roman" w:hAnsi="Roboto" w:cs="Arial"/>
          <w:color w:val="333333"/>
          <w:sz w:val="27"/>
          <w:szCs w:val="27"/>
          <w:lang w:eastAsia="ru-RU"/>
        </w:rPr>
        <w:t xml:space="preserve"> или «Личный кабинет гражданина» на сайте ПФР.</w:t>
      </w:r>
    </w:p>
    <w:p w:rsidR="000D1438" w:rsidRPr="000D1438" w:rsidRDefault="000D1438" w:rsidP="003D2192">
      <w:pPr>
        <w:spacing w:after="150" w:line="240" w:lineRule="auto"/>
        <w:ind w:firstLine="708"/>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lastRenderedPageBreak/>
        <w:t>В случае если гражданин одновременно имеет право на получение ЕДВ по нескольким основаниям в рамках одного закона, выплата устанавливается по одному основанию, предусматривающему более высокий размер выплаты. Индексация ЕДВ проводится один раз в год, и с 1 февраля 2019 года выплата проиндексирована на 4,3% исходя из уровня инфляции за прошлый год.</w:t>
      </w:r>
      <w:r w:rsidRPr="000D1438">
        <w:rPr>
          <w:rFonts w:ascii="Roboto" w:eastAsia="Times New Roman" w:hAnsi="Roboto" w:cs="Arial"/>
          <w:i/>
          <w:iCs/>
          <w:color w:val="333333"/>
          <w:sz w:val="27"/>
          <w:lang w:eastAsia="ru-RU"/>
        </w:rPr>
        <w:t> </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proofErr w:type="gramStart"/>
      <w:r w:rsidRPr="000D1438">
        <w:rPr>
          <w:rFonts w:ascii="Roboto" w:eastAsia="Times New Roman" w:hAnsi="Roboto" w:cs="Arial"/>
          <w:i/>
          <w:iCs/>
          <w:color w:val="333333"/>
          <w:sz w:val="27"/>
          <w:lang w:eastAsia="ru-RU"/>
        </w:rPr>
        <w:t>Набор социальных услуг (НСУ)</w:t>
      </w:r>
      <w:r w:rsidRPr="000D1438">
        <w:rPr>
          <w:rFonts w:ascii="Roboto" w:eastAsia="Times New Roman" w:hAnsi="Roboto" w:cs="Arial"/>
          <w:color w:val="333333"/>
          <w:sz w:val="27"/>
          <w:szCs w:val="27"/>
          <w:lang w:eastAsia="ru-RU"/>
        </w:rPr>
        <w:t> – входит в состав ЕДВ, стоимость  денежного эквивалента полного пакета социальных услуг с 1 февраля 2019 года составляет 1 121,42 руб. НСУ включает в себя предоставление лекарственных препаратов, медицинских изделий, продуктов лечебного питания (863,75 руб.), предоставление путевки на санаторно-курортное лечение для профилактики основных заболеваний (133,62 руб.), бесплатный проезд на пригородном железнодорожном транспорте или на междугородном транспорте к</w:t>
      </w:r>
      <w:proofErr w:type="gramEnd"/>
      <w:r w:rsidRPr="000D1438">
        <w:rPr>
          <w:rFonts w:ascii="Roboto" w:eastAsia="Times New Roman" w:hAnsi="Roboto" w:cs="Arial"/>
          <w:color w:val="333333"/>
          <w:sz w:val="27"/>
          <w:szCs w:val="27"/>
          <w:lang w:eastAsia="ru-RU"/>
        </w:rPr>
        <w:t xml:space="preserve"> месту лечения и обратно (124,05 руб.).</w:t>
      </w:r>
    </w:p>
    <w:p w:rsidR="000D1438" w:rsidRPr="000D1438" w:rsidRDefault="000D1438" w:rsidP="003D2192">
      <w:pPr>
        <w:spacing w:after="150" w:line="240" w:lineRule="auto"/>
        <w:ind w:firstLine="708"/>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Гражданин может выбрать, в каком виде ему получать НСУ: в натуральной форме или в виде денежного эквивалента. Отказаться от льгот в натуральном выражении можно полностью или частично.</w:t>
      </w:r>
    </w:p>
    <w:p w:rsidR="000D1438" w:rsidRPr="000D1438" w:rsidRDefault="000D1438" w:rsidP="003D2192">
      <w:pPr>
        <w:spacing w:after="150" w:line="240" w:lineRule="auto"/>
        <w:ind w:firstLine="708"/>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С вариантом предоставления НСУ на следующий год необходимо определиться до 1 октября текущего года путем подачи заявления в территориальные органы ПФР лично, по почте, в электронном виде через личный кабинет на сайте ПФР  или через МФЦ. Заявления граждан, принятые до 1 октября 2019 года, будут действовать  с 1 января 2020 года до тех пор, пока льготник не изменит свое решение. Если гражданина устраивает существующий способ получения НСУ, и он не желает его менять, подавать ежегодно заявление не нужно. Достаточно это сделать один раз.</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i/>
          <w:iCs/>
          <w:color w:val="333333"/>
          <w:sz w:val="27"/>
          <w:lang w:eastAsia="ru-RU"/>
        </w:rPr>
        <w:t>Дополнительное ежемесячное материальное обеспечение (ДЕМО) –</w:t>
      </w:r>
      <w:r w:rsidRPr="000D1438">
        <w:rPr>
          <w:rFonts w:ascii="Roboto" w:eastAsia="Times New Roman" w:hAnsi="Roboto" w:cs="Arial"/>
          <w:color w:val="333333"/>
          <w:sz w:val="27"/>
          <w:szCs w:val="27"/>
          <w:lang w:eastAsia="ru-RU"/>
        </w:rPr>
        <w:t> ежемесячные выплаты отдельным категориям граждан. Право на материальное обеспечение имеют только граждане Российской Федерации независимо от места их проживания. Ее размер в зависимости от льготной категории составляет 500 или 1000 рублей.</w:t>
      </w:r>
    </w:p>
    <w:p w:rsidR="000D1438" w:rsidRPr="000D1438" w:rsidRDefault="000D1438" w:rsidP="000D1438">
      <w:pPr>
        <w:numPr>
          <w:ilvl w:val="0"/>
          <w:numId w:val="2"/>
        </w:numPr>
        <w:spacing w:before="100" w:beforeAutospacing="1" w:after="100" w:afterAutospacing="1" w:line="240" w:lineRule="auto"/>
        <w:jc w:val="both"/>
        <w:rPr>
          <w:rFonts w:ascii="Roboto" w:eastAsia="Times New Roman" w:hAnsi="Roboto" w:cs="Arial"/>
          <w:color w:val="333333"/>
          <w:sz w:val="27"/>
          <w:szCs w:val="27"/>
          <w:lang w:eastAsia="ru-RU"/>
        </w:rPr>
      </w:pPr>
      <w:r w:rsidRPr="000D1438">
        <w:rPr>
          <w:rFonts w:ascii="Roboto" w:eastAsia="Times New Roman" w:hAnsi="Roboto" w:cs="Arial"/>
          <w:i/>
          <w:iCs/>
          <w:color w:val="333333"/>
          <w:sz w:val="27"/>
          <w:lang w:eastAsia="ru-RU"/>
        </w:rPr>
        <w:t>ДЕМО в размере 1 000 руб. устанавливается:</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 инвалидам и участникам Великой Отечественной войны;</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 инвалидам вследствие военной травмы;</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 бывшим несовершеннолетним узникам концлагерей, гетто и других мест принудительного содержания.</w:t>
      </w:r>
    </w:p>
    <w:p w:rsidR="000D1438" w:rsidRPr="000D1438" w:rsidRDefault="000D1438" w:rsidP="000D1438">
      <w:pPr>
        <w:numPr>
          <w:ilvl w:val="0"/>
          <w:numId w:val="3"/>
        </w:numPr>
        <w:spacing w:before="100" w:beforeAutospacing="1" w:after="100" w:afterAutospacing="1" w:line="240" w:lineRule="auto"/>
        <w:jc w:val="both"/>
        <w:rPr>
          <w:rFonts w:ascii="Roboto" w:eastAsia="Times New Roman" w:hAnsi="Roboto" w:cs="Arial"/>
          <w:color w:val="333333"/>
          <w:sz w:val="27"/>
          <w:szCs w:val="27"/>
          <w:lang w:eastAsia="ru-RU"/>
        </w:rPr>
      </w:pPr>
      <w:r w:rsidRPr="000D1438">
        <w:rPr>
          <w:rFonts w:ascii="Roboto" w:eastAsia="Times New Roman" w:hAnsi="Roboto" w:cs="Arial"/>
          <w:i/>
          <w:iCs/>
          <w:color w:val="333333"/>
          <w:sz w:val="27"/>
          <w:lang w:eastAsia="ru-RU"/>
        </w:rPr>
        <w:t>ДЕМО в размере 500 руб. устанавливается:</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а также военнослужащим, награжденным орденами или медалями СССР за службу в указанный период;</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lastRenderedPageBreak/>
        <w:t>- вдовам погибших в годы войны военнослужащих; вдовам инвалидов Великой Отечественной войны;</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 лицам, награжденным знаком «Жителю блокадного Ленинграда»;</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 бывшим совершеннолетним узникам нацистских концлагерей, тюрем и гетто.</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ДЕМО выплачивается территориальным органом ПФР одновременно с пенсией. Гражданам, имеющим право на ДЕМО, но не реализовавшим его своевременно, необходимо подать заявление о назначении этой выплаты в территориальный орган ПФР по месту жительства. Если гражданин имеет право на ДЕМО, но он не является пенсионером, эта выплата также назначается и выплачивается территориальными органами ПФР по месту жительства, а в случае постоянного проживания за пределами России – Пенсионным фондом Российской Федерации. Граждане РФ, постоянно проживающие за пределами территории РФ, подтверждают гражданство на дату обращения за назначением ДЕМО.</w:t>
      </w:r>
    </w:p>
    <w:p w:rsidR="000D1438" w:rsidRPr="000D1438" w:rsidRDefault="000D1438" w:rsidP="003D2192">
      <w:pPr>
        <w:spacing w:after="150" w:line="240" w:lineRule="auto"/>
        <w:ind w:firstLine="708"/>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В случае если гражданин одновременно имеет право на получение ДЕМО по нескольким основаниям, оно устанавливается по одному основанию, предусматривающему более высокий размер выплаты.</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i/>
          <w:iCs/>
          <w:color w:val="333333"/>
          <w:sz w:val="27"/>
          <w:lang w:eastAsia="ru-RU"/>
        </w:rPr>
        <w:t>Дополнительное материальное обеспечение (ДМО)</w:t>
      </w:r>
      <w:r w:rsidRPr="000D1438">
        <w:rPr>
          <w:rFonts w:ascii="Roboto" w:eastAsia="Times New Roman" w:hAnsi="Roboto" w:cs="Arial"/>
          <w:color w:val="333333"/>
          <w:sz w:val="27"/>
          <w:szCs w:val="27"/>
          <w:lang w:eastAsia="ru-RU"/>
        </w:rPr>
        <w:t> – выплата, которая полагается гражданам Российской Федерации  за выдающиеся достижения в области науки и техники, образования, культуры, литературы и искусства и особые заслуги перед Российской Федерацией.</w:t>
      </w:r>
    </w:p>
    <w:p w:rsidR="000D1438" w:rsidRPr="000D1438" w:rsidRDefault="000D1438" w:rsidP="000D1438">
      <w:pPr>
        <w:spacing w:after="150" w:line="240" w:lineRule="auto"/>
        <w:jc w:val="both"/>
        <w:rPr>
          <w:rFonts w:ascii="Roboto" w:eastAsia="Times New Roman" w:hAnsi="Roboto" w:cs="Arial"/>
          <w:color w:val="333333"/>
          <w:sz w:val="27"/>
          <w:szCs w:val="27"/>
          <w:lang w:eastAsia="ru-RU"/>
        </w:rPr>
      </w:pPr>
      <w:r w:rsidRPr="000D1438">
        <w:rPr>
          <w:rFonts w:ascii="Roboto" w:eastAsia="Times New Roman" w:hAnsi="Roboto" w:cs="Arial"/>
          <w:color w:val="333333"/>
          <w:sz w:val="27"/>
          <w:szCs w:val="27"/>
          <w:lang w:eastAsia="ru-RU"/>
        </w:rPr>
        <w:t>Данная выплата устанавливается к пенсиям, назначенным в соответствии с законодательством Российской Федерации. Самая высокая выплата ДМО предоставляется Героям Советского Союза, Социалистического Труда, обладателям ордена Славы трех степеней, а также пенсионерам, удостоившимся звания Героя РФ, ордена Святого апостола Андрея Первозванного или ордена «За заслуги перед Отечеством» I степени. Размер ДМО привязан к размеру социальной пенсии и, соответственно, различается для категорий получателей этой доплаты. Выплата ДМО производится одновременно с выплатой соответствующей пенсии. </w:t>
      </w:r>
    </w:p>
    <w:p w:rsidR="000D1438" w:rsidRPr="000D1438" w:rsidRDefault="000D1438" w:rsidP="000D1438">
      <w:pPr>
        <w:spacing w:line="240" w:lineRule="auto"/>
        <w:jc w:val="both"/>
        <w:rPr>
          <w:rFonts w:ascii="Roboto" w:eastAsia="Times New Roman" w:hAnsi="Roboto" w:cs="Arial"/>
          <w:color w:val="333333"/>
          <w:sz w:val="27"/>
          <w:szCs w:val="27"/>
          <w:lang w:eastAsia="ru-RU"/>
        </w:rPr>
      </w:pPr>
      <w:r w:rsidRPr="000D1438">
        <w:rPr>
          <w:rFonts w:ascii="Roboto" w:eastAsia="Times New Roman" w:hAnsi="Roboto" w:cs="Arial"/>
          <w:i/>
          <w:iCs/>
          <w:color w:val="333333"/>
          <w:sz w:val="27"/>
          <w:lang w:eastAsia="ru-RU"/>
        </w:rPr>
        <w:t>Обращаем внимание: ДМО не выплачивается в период выполнения оплачиваемой работы.</w:t>
      </w:r>
    </w:p>
    <w:p w:rsidR="00FD68C1" w:rsidRDefault="00FD68C1"/>
    <w:sectPr w:rsidR="00FD68C1" w:rsidSect="00FD68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70607"/>
    <w:multiLevelType w:val="multilevel"/>
    <w:tmpl w:val="F4B6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649B3"/>
    <w:multiLevelType w:val="multilevel"/>
    <w:tmpl w:val="2FB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21CE7"/>
    <w:multiLevelType w:val="multilevel"/>
    <w:tmpl w:val="EC1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1438"/>
    <w:rsid w:val="000D1438"/>
    <w:rsid w:val="003D2192"/>
    <w:rsid w:val="00FD68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1438"/>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D1438"/>
    <w:rPr>
      <w:i/>
      <w:iCs/>
    </w:rPr>
  </w:style>
  <w:style w:type="paragraph" w:styleId="a5">
    <w:name w:val="Balloon Text"/>
    <w:basedOn w:val="a"/>
    <w:link w:val="a6"/>
    <w:uiPriority w:val="99"/>
    <w:semiHidden/>
    <w:unhideWhenUsed/>
    <w:rsid w:val="003D21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2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7907500">
      <w:bodyDiv w:val="1"/>
      <w:marLeft w:val="0"/>
      <w:marRight w:val="0"/>
      <w:marTop w:val="0"/>
      <w:marBottom w:val="0"/>
      <w:divBdr>
        <w:top w:val="none" w:sz="0" w:space="0" w:color="auto"/>
        <w:left w:val="none" w:sz="0" w:space="0" w:color="auto"/>
        <w:bottom w:val="none" w:sz="0" w:space="0" w:color="auto"/>
        <w:right w:val="none" w:sz="0" w:space="0" w:color="auto"/>
      </w:divBdr>
      <w:divsChild>
        <w:div w:id="617832411">
          <w:marLeft w:val="0"/>
          <w:marRight w:val="0"/>
          <w:marTop w:val="0"/>
          <w:marBottom w:val="0"/>
          <w:divBdr>
            <w:top w:val="none" w:sz="0" w:space="0" w:color="auto"/>
            <w:left w:val="none" w:sz="0" w:space="0" w:color="auto"/>
            <w:bottom w:val="none" w:sz="0" w:space="0" w:color="auto"/>
            <w:right w:val="none" w:sz="0" w:space="0" w:color="auto"/>
          </w:divBdr>
          <w:divsChild>
            <w:div w:id="1270939739">
              <w:marLeft w:val="0"/>
              <w:marRight w:val="0"/>
              <w:marTop w:val="0"/>
              <w:marBottom w:val="600"/>
              <w:divBdr>
                <w:top w:val="none" w:sz="0" w:space="0" w:color="auto"/>
                <w:left w:val="none" w:sz="0" w:space="0" w:color="auto"/>
                <w:bottom w:val="none" w:sz="0" w:space="0" w:color="auto"/>
                <w:right w:val="none" w:sz="0" w:space="0" w:color="auto"/>
              </w:divBdr>
              <w:divsChild>
                <w:div w:id="322046064">
                  <w:marLeft w:val="0"/>
                  <w:marRight w:val="0"/>
                  <w:marTop w:val="0"/>
                  <w:marBottom w:val="0"/>
                  <w:divBdr>
                    <w:top w:val="none" w:sz="0" w:space="0" w:color="auto"/>
                    <w:left w:val="none" w:sz="0" w:space="0" w:color="auto"/>
                    <w:bottom w:val="none" w:sz="0" w:space="0" w:color="auto"/>
                    <w:right w:val="none" w:sz="0" w:space="0" w:color="auto"/>
                  </w:divBdr>
                  <w:divsChild>
                    <w:div w:id="1530218244">
                      <w:marLeft w:val="0"/>
                      <w:marRight w:val="0"/>
                      <w:marTop w:val="0"/>
                      <w:marBottom w:val="0"/>
                      <w:divBdr>
                        <w:top w:val="none" w:sz="0" w:space="0" w:color="auto"/>
                        <w:left w:val="none" w:sz="0" w:space="0" w:color="auto"/>
                        <w:bottom w:val="none" w:sz="0" w:space="0" w:color="auto"/>
                        <w:right w:val="none" w:sz="0" w:space="0" w:color="auto"/>
                      </w:divBdr>
                      <w:divsChild>
                        <w:div w:id="949360504">
                          <w:marLeft w:val="0"/>
                          <w:marRight w:val="0"/>
                          <w:marTop w:val="0"/>
                          <w:marBottom w:val="600"/>
                          <w:divBdr>
                            <w:top w:val="none" w:sz="0" w:space="0" w:color="auto"/>
                            <w:left w:val="none" w:sz="0" w:space="0" w:color="auto"/>
                            <w:bottom w:val="none" w:sz="0" w:space="0" w:color="auto"/>
                            <w:right w:val="none" w:sz="0" w:space="0" w:color="auto"/>
                          </w:divBdr>
                          <w:divsChild>
                            <w:div w:id="1839617962">
                              <w:marLeft w:val="0"/>
                              <w:marRight w:val="0"/>
                              <w:marTop w:val="0"/>
                              <w:marBottom w:val="0"/>
                              <w:divBdr>
                                <w:top w:val="none" w:sz="0" w:space="0" w:color="auto"/>
                                <w:left w:val="none" w:sz="0" w:space="0" w:color="auto"/>
                                <w:bottom w:val="none" w:sz="0" w:space="0" w:color="auto"/>
                                <w:right w:val="none" w:sz="0" w:space="0" w:color="auto"/>
                              </w:divBdr>
                              <w:divsChild>
                                <w:div w:id="14957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977</Words>
  <Characters>5574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2019-12-02T10:14:00Z</dcterms:created>
  <dcterms:modified xsi:type="dcterms:W3CDTF">2019-12-02T10:34:00Z</dcterms:modified>
</cp:coreProperties>
</file>